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BDA1F" w14:textId="77777777" w:rsidR="007C505D" w:rsidRPr="007C505D" w:rsidRDefault="007C505D" w:rsidP="007C505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C505D">
        <w:rPr>
          <w:rFonts w:ascii="Times New Roman" w:hAnsi="Times New Roman" w:cs="Times New Roman"/>
          <w:sz w:val="20"/>
          <w:szCs w:val="20"/>
        </w:rPr>
        <w:t xml:space="preserve">                                 Załącznik Nr 2</w:t>
      </w:r>
    </w:p>
    <w:p w14:paraId="049BAB56" w14:textId="77777777" w:rsidR="007C505D" w:rsidRPr="007C505D" w:rsidRDefault="007C505D" w:rsidP="007C505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C505D">
        <w:rPr>
          <w:rFonts w:ascii="Times New Roman" w:hAnsi="Times New Roman" w:cs="Times New Roman"/>
          <w:sz w:val="20"/>
          <w:szCs w:val="20"/>
        </w:rPr>
        <w:tab/>
        <w:t>do Uchwały Nr XXIX/188/2021</w:t>
      </w:r>
    </w:p>
    <w:p w14:paraId="6308AE13" w14:textId="77777777" w:rsidR="007C505D" w:rsidRPr="007C505D" w:rsidRDefault="007C505D" w:rsidP="007C505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C505D">
        <w:rPr>
          <w:rFonts w:ascii="Times New Roman" w:hAnsi="Times New Roman" w:cs="Times New Roman"/>
          <w:sz w:val="20"/>
          <w:szCs w:val="20"/>
        </w:rPr>
        <w:tab/>
        <w:t>z dnia 2.09.2021r.</w:t>
      </w:r>
    </w:p>
    <w:p w14:paraId="5F0AF2B5" w14:textId="77777777" w:rsidR="007C505D" w:rsidRPr="007C505D" w:rsidRDefault="007C505D" w:rsidP="007C505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20DE17F" w14:textId="77777777" w:rsidR="007C505D" w:rsidRPr="007C505D" w:rsidRDefault="007C505D" w:rsidP="007C505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505D">
        <w:rPr>
          <w:rFonts w:ascii="Times New Roman" w:hAnsi="Times New Roman" w:cs="Times New Roman"/>
          <w:b/>
          <w:bCs/>
          <w:sz w:val="28"/>
          <w:szCs w:val="28"/>
        </w:rPr>
        <w:t>Objaśnienia</w:t>
      </w:r>
      <w:r w:rsidRPr="007C50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wartości przyjętych w wieloletniej prognozie finansowej</w:t>
      </w:r>
    </w:p>
    <w:p w14:paraId="29909383" w14:textId="77777777" w:rsidR="007C505D" w:rsidRPr="007C505D" w:rsidRDefault="007C505D" w:rsidP="007C505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C505D">
        <w:rPr>
          <w:rFonts w:ascii="Times New Roman" w:hAnsi="Times New Roman" w:cs="Times New Roman"/>
          <w:b/>
          <w:bCs/>
          <w:sz w:val="30"/>
          <w:szCs w:val="30"/>
        </w:rPr>
        <w:t>Gminy Nowogródek Pomorski</w:t>
      </w:r>
    </w:p>
    <w:p w14:paraId="2A77E248" w14:textId="77777777" w:rsidR="007C505D" w:rsidRPr="007C505D" w:rsidRDefault="007C505D" w:rsidP="007C505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505D">
        <w:rPr>
          <w:rFonts w:ascii="Times New Roman" w:hAnsi="Times New Roman" w:cs="Times New Roman"/>
          <w:b/>
          <w:bCs/>
          <w:sz w:val="20"/>
          <w:szCs w:val="20"/>
        </w:rPr>
        <w:t>na lata 2021 - 2032</w:t>
      </w:r>
    </w:p>
    <w:p w14:paraId="5430A7E4" w14:textId="77777777" w:rsidR="007C505D" w:rsidRPr="007C505D" w:rsidRDefault="007C505D" w:rsidP="007C505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14:paraId="69A5B775" w14:textId="77777777" w:rsidR="007C505D" w:rsidRPr="007C505D" w:rsidRDefault="007C505D" w:rsidP="007C505D">
      <w:pPr>
        <w:widowControl w:val="0"/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Dotyczy dochodów  w latach  2021 – 2032  wykazanych w poz. 1.(str.1):</w:t>
      </w:r>
    </w:p>
    <w:p w14:paraId="157BF759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4FCCBDC4" w14:textId="77777777" w:rsidR="007C505D" w:rsidRPr="007C505D" w:rsidRDefault="007C505D" w:rsidP="007C505D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Dla roku 2021 przyjęto wartości z  budżetu na 2021r. W roku 2022 wzrost dochodów bieżących szacuje się o ok. 2-4%,   w następnych latach 2022-2032 przyjęto wskaźnik wzrostu ok. 2% w stosunku do roku poprzedzającego rok budżetowy.  Ponadto w latach 2021-2023 zaplanowano dochody majątkowe z tytułu dotacji na realizację inwestycji w ramach dofinansowania  z  budżetu UE - 4.694.550,00 oraz z Rządowego Funduszu Inwestycji Lokalnych - 4.873.617,13. </w:t>
      </w:r>
    </w:p>
    <w:p w14:paraId="7C98D706" w14:textId="77777777" w:rsidR="007C505D" w:rsidRPr="007C505D" w:rsidRDefault="007C505D" w:rsidP="007C505D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W ramach dochodów ze sprzedaży majątku w 2021r. </w:t>
      </w:r>
      <w:r w:rsidRPr="007C505D">
        <w:rPr>
          <w:rFonts w:ascii="Calibri" w:hAnsi="Calibri" w:cs="Calibri"/>
          <w:sz w:val="24"/>
          <w:szCs w:val="24"/>
        </w:rPr>
        <w:t xml:space="preserve">w </w:t>
      </w:r>
      <w:r w:rsidRPr="007C505D">
        <w:rPr>
          <w:rFonts w:ascii="Times New Roman" w:hAnsi="Times New Roman" w:cs="Times New Roman"/>
          <w:sz w:val="24"/>
          <w:szCs w:val="24"/>
        </w:rPr>
        <w:t>budżecie gminy oraz w WPF  zaplanowano  kwotę – 185.000,00, na tę wartość składają się:</w:t>
      </w:r>
    </w:p>
    <w:p w14:paraId="0E7E04AF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a) 15.000,00 – wpływy za nieruchomości sprzedane wcześniej na raty </w:t>
      </w:r>
    </w:p>
    <w:p w14:paraId="138658A9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b) 170.000,00 -  wpływy ze sprzedaży mienia planowanego do sprzedaży – w tym:</w:t>
      </w:r>
    </w:p>
    <w:p w14:paraId="24040FE2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działka  w Nowogródku Pomorskim Nr 339/3 - szacowana wartość  20.000,00</w:t>
      </w:r>
    </w:p>
    <w:p w14:paraId="4AE20554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C505D">
        <w:rPr>
          <w:rFonts w:ascii="Times New Roman" w:hAnsi="Times New Roman" w:cs="Times New Roman"/>
          <w:sz w:val="24"/>
          <w:szCs w:val="24"/>
        </w:rPr>
        <w:t>dziaka</w:t>
      </w:r>
      <w:proofErr w:type="spellEnd"/>
      <w:r w:rsidRPr="007C505D">
        <w:rPr>
          <w:rFonts w:ascii="Times New Roman" w:hAnsi="Times New Roman" w:cs="Times New Roman"/>
          <w:sz w:val="24"/>
          <w:szCs w:val="24"/>
        </w:rPr>
        <w:t xml:space="preserve"> Nr 378/6 w Giżynie - szacowana wartość 60.000,00</w:t>
      </w:r>
    </w:p>
    <w:p w14:paraId="5BF33225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działka Nr 128 w Giżynie - szacowana wartość 10.000,00</w:t>
      </w:r>
    </w:p>
    <w:p w14:paraId="1BD78BFC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działka Nr 661/4 w Karsku - szacowana wartość 10.000,00</w:t>
      </w:r>
    </w:p>
    <w:p w14:paraId="37221485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działka Nr 30/48 w Kinicach - szacowana wartość 10.000,00</w:t>
      </w:r>
    </w:p>
    <w:p w14:paraId="317A0138" w14:textId="49CD5960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działka Nr 30/49 w Kinicach - sz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C505D">
        <w:rPr>
          <w:rFonts w:ascii="Times New Roman" w:hAnsi="Times New Roman" w:cs="Times New Roman"/>
          <w:sz w:val="24"/>
          <w:szCs w:val="24"/>
        </w:rPr>
        <w:t>cowana wartość 10.000,00</w:t>
      </w:r>
    </w:p>
    <w:p w14:paraId="308D7F16" w14:textId="65EA93F6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działka Nr 30/50 w Kinicach - sz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C505D">
        <w:rPr>
          <w:rFonts w:ascii="Times New Roman" w:hAnsi="Times New Roman" w:cs="Times New Roman"/>
          <w:sz w:val="24"/>
          <w:szCs w:val="24"/>
        </w:rPr>
        <w:t>cowana wartość 10.000,00</w:t>
      </w:r>
    </w:p>
    <w:p w14:paraId="3F513C3E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działka Nr 336/2 w Nowogródku Pomorskim - szacowana wartość 20.000,00</w:t>
      </w:r>
    </w:p>
    <w:p w14:paraId="2A80FAC7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działka Nr 458/22 w Nowogródku Pomorskim - szacowana wartość 20.000,00</w:t>
      </w:r>
    </w:p>
    <w:p w14:paraId="31217F7B" w14:textId="77777777" w:rsidR="007C505D" w:rsidRPr="007C505D" w:rsidRDefault="007C505D" w:rsidP="007C505D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Dla roku 2022 przyjęto w planie kwotę 100.000,00 , są to wpływy ze sprzedaży ratalnej ok. 22.000,00 zł. oraz  wpływy ze sprzedaży mienia w kwocie 78.000,00, w tym: </w:t>
      </w:r>
    </w:p>
    <w:p w14:paraId="6D246DB1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- działka Nr 463 Giżyn o pow. 0,90 ha  </w:t>
      </w:r>
    </w:p>
    <w:p w14:paraId="2991219A" w14:textId="77777777" w:rsidR="007C505D" w:rsidRPr="007C505D" w:rsidRDefault="007C505D" w:rsidP="007C505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Natomiast wpływy ze sprzedaży nieruchomości planowane w WPF w latach następnych są wartościami szacunkowymi, które aktualizowane są każdorazowo dla danego roku budżetowego.</w:t>
      </w:r>
    </w:p>
    <w:p w14:paraId="3FC2E5FD" w14:textId="77777777" w:rsidR="007C505D" w:rsidRPr="007C505D" w:rsidRDefault="007C505D" w:rsidP="007C505D">
      <w:pPr>
        <w:widowControl w:val="0"/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          2.  Dotyczy wydatków  w latach 2021-2032  wykazanych w poz. 2(str.2):</w:t>
      </w:r>
    </w:p>
    <w:p w14:paraId="32FDFAF8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lastRenderedPageBreak/>
        <w:t>Objaśnienia:</w:t>
      </w:r>
    </w:p>
    <w:p w14:paraId="5491D0B0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Dla roku 2021 przyjęto wartości z  budżetu na 2021r. W latach 2022 – 2032 planuje się dalsze ograniczanie wydatków bieżących w związku z koniecznością zachowania od 2014 r. zgodności budżetu i WPF z wymaganiami art. 243 </w:t>
      </w:r>
      <w:proofErr w:type="spellStart"/>
      <w:r w:rsidRPr="007C505D">
        <w:rPr>
          <w:rFonts w:ascii="Times New Roman" w:hAnsi="Times New Roman" w:cs="Times New Roman"/>
          <w:sz w:val="24"/>
          <w:szCs w:val="24"/>
        </w:rPr>
        <w:t>ufp</w:t>
      </w:r>
      <w:proofErr w:type="spellEnd"/>
      <w:r w:rsidRPr="007C505D">
        <w:rPr>
          <w:rFonts w:ascii="Times New Roman" w:hAnsi="Times New Roman" w:cs="Times New Roman"/>
          <w:sz w:val="24"/>
          <w:szCs w:val="24"/>
        </w:rPr>
        <w:t>, w związku z czym przyjęto realny wzrost wydatków  bieżących o ok. 3-6% w stosunku do roku poprzedzającego rok budżetowy. Realizacja inwestycji przede wszystkim uzależniona jest od pozyskania środków pomocowych z budżetu UE oraz RFIL.</w:t>
      </w:r>
    </w:p>
    <w:p w14:paraId="78FFCC8C" w14:textId="77777777" w:rsidR="007C505D" w:rsidRPr="007C505D" w:rsidRDefault="007C505D" w:rsidP="007C505D">
      <w:pPr>
        <w:widowControl w:val="0"/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           3.  Dotyczy wyniku (ów) budżetu  w latach 2021 - 2032 wykazanych w poz. 3 (str.3):</w:t>
      </w:r>
    </w:p>
    <w:p w14:paraId="0857042F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0D483327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W 2021 r.  budżet zamknął się wynikiem ujemnym w kwocie (-)4.432.891,17 jak również w 2022r. występuje wynik ujemy w kwocie (-)1.994.114,65  .  W następnych latach 2023-2032 w związku z dalszym ograniczaniem wydatków bieżących występuje  dodatni wynik budżetu.</w:t>
      </w:r>
    </w:p>
    <w:p w14:paraId="25DF1BDD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3CA5B4" w14:textId="77777777" w:rsidR="007C505D" w:rsidRPr="007C505D" w:rsidRDefault="007C505D" w:rsidP="007C505D">
      <w:pPr>
        <w:widowControl w:val="0"/>
        <w:numPr>
          <w:ilvl w:val="0"/>
          <w:numId w:val="2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Dotyczy przeznaczenia nadwyżek budżetu  w latach 2021 – 2032 wykazanych w poz. 3 (str. 3):</w:t>
      </w:r>
    </w:p>
    <w:p w14:paraId="60ADE1F9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09C309C4" w14:textId="120FE2F2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W roku 2021r. wystąpił deficyt budżetu w kwocie (-) 4.432.891,17, który pokryty zostanie środkami pochodzącymi z kredytu długoterminowego w kwocie 281.237,00, pożyczki z </w:t>
      </w:r>
      <w:proofErr w:type="spellStart"/>
      <w:r w:rsidRPr="007C505D"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 w:rsidRPr="007C505D">
        <w:rPr>
          <w:rFonts w:ascii="Times New Roman" w:hAnsi="Times New Roman" w:cs="Times New Roman"/>
          <w:sz w:val="24"/>
          <w:szCs w:val="24"/>
        </w:rPr>
        <w:t xml:space="preserve"> w kwocie 1.296.311,00 oraz z przychodów budżetu w kwocie 2.855.343,17. W roku 2022 deficyt budżetu wyniesie kwotę (-)1.994.114,65, który pokryty zostanie pożyczką długoterminową z </w:t>
      </w:r>
      <w:proofErr w:type="spellStart"/>
      <w:r w:rsidRPr="007C505D"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 w:rsidRPr="007C505D">
        <w:rPr>
          <w:rFonts w:ascii="Times New Roman" w:hAnsi="Times New Roman" w:cs="Times New Roman"/>
          <w:sz w:val="24"/>
          <w:szCs w:val="24"/>
        </w:rPr>
        <w:t>. W latach następnych  szacuje się, że zostanie wypracowana nadwyżka budżetowa, która  przeznaczona będzie na spłatę rat kredytów i pożyczek długoterminowych, a pozostała jej część wykorzystana zostanie na dalszą realizację inwestycji na terenie gminy.</w:t>
      </w:r>
    </w:p>
    <w:p w14:paraId="1A5A64CB" w14:textId="77777777" w:rsidR="007C505D" w:rsidRPr="007C505D" w:rsidRDefault="007C505D" w:rsidP="007C505D">
      <w:pPr>
        <w:widowControl w:val="0"/>
        <w:numPr>
          <w:ilvl w:val="0"/>
          <w:numId w:val="2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Dotyczy sposobu sfinansowania deficytu budżetu roku  2021  wykazanego w poz. 3(str.3):</w:t>
      </w:r>
    </w:p>
    <w:p w14:paraId="18D98941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6C733D5B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W 2021 roku deficyt budżetowy w kwocie (-) 4.432.891,17 pokryty zostanie kredytem długoterminowym w kwocie 281.237,00, pożyczką z </w:t>
      </w:r>
      <w:proofErr w:type="spellStart"/>
      <w:r w:rsidRPr="007C505D"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 w:rsidRPr="007C505D">
        <w:rPr>
          <w:rFonts w:ascii="Times New Roman" w:hAnsi="Times New Roman" w:cs="Times New Roman"/>
          <w:sz w:val="24"/>
          <w:szCs w:val="24"/>
        </w:rPr>
        <w:t xml:space="preserve"> w kwocie 1.296.311,00 oraz przychodami pochodzącymi z niewykorzystanych środków w 2020r. w kwocie 2.855.343,17. </w:t>
      </w:r>
    </w:p>
    <w:p w14:paraId="1C05B57C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101F67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6. Dotyczy przychodów </w:t>
      </w:r>
      <w:proofErr w:type="spellStart"/>
      <w:r w:rsidRPr="007C505D">
        <w:rPr>
          <w:rFonts w:ascii="Times New Roman" w:hAnsi="Times New Roman" w:cs="Times New Roman"/>
          <w:sz w:val="24"/>
          <w:szCs w:val="24"/>
        </w:rPr>
        <w:t>rolu</w:t>
      </w:r>
      <w:proofErr w:type="spellEnd"/>
      <w:r w:rsidRPr="007C505D">
        <w:rPr>
          <w:rFonts w:ascii="Times New Roman" w:hAnsi="Times New Roman" w:cs="Times New Roman"/>
          <w:sz w:val="24"/>
          <w:szCs w:val="24"/>
        </w:rPr>
        <w:t xml:space="preserve"> 2021 wykazanych w poz. 4 (str.3)</w:t>
      </w:r>
    </w:p>
    <w:p w14:paraId="5F918596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6CBEBD28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W 2021 r. - planuje się przychody budżetowe w kwocie -5.451.654,17, w tym z tytułu:</w:t>
      </w:r>
    </w:p>
    <w:p w14:paraId="6C6B966C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a) kredytów i pożyczek długoterminowych w kwocie 2.596.311,00, które przeznaczone zostaną na sfinansowanie deficytu budżetu w kwocie (-) 1.577.548,00 oraz planowanych zadań inwestycyjnych, </w:t>
      </w:r>
    </w:p>
    <w:p w14:paraId="7676A6D7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b)  przychodów budżetu w kwocie - 2.855.343,17 z tytułu środków otrzymanych w 2020 r. i nie wykorzystanych do końca tego roku, w tym:</w:t>
      </w:r>
    </w:p>
    <w:p w14:paraId="40EB7ED1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 5.000,00 z tytułu środków pozostałych z rozliczenia wpłat za zezwolenia na sprzedaż napojów alkoholowych, które przeznaczone zostaną na sfinansowanie zadań związanych z przeciwdziałaniem alkoholizmowi i narkomanii,</w:t>
      </w:r>
    </w:p>
    <w:p w14:paraId="256CE361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lastRenderedPageBreak/>
        <w:t>- 368.389,00 dotacja z Funduszu Dróg Samorządowych na modernizację drogi w Kinicach,</w:t>
      </w:r>
    </w:p>
    <w:p w14:paraId="5D5BD6B4" w14:textId="2211705A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- 1.815.274,87 dotacja z Rządowego Funduszu Inwestycji Lokalnych z prze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7C505D">
        <w:rPr>
          <w:rFonts w:ascii="Times New Roman" w:hAnsi="Times New Roman" w:cs="Times New Roman"/>
          <w:sz w:val="24"/>
          <w:szCs w:val="24"/>
        </w:rPr>
        <w:t>naczeniem na inwestycje na drogach gminnych oraz na dotację dla Powiatu Myśliborskiego na modernizację drogi powiatowej na terenie Gminy Nowogródek Pomorski,</w:t>
      </w:r>
    </w:p>
    <w:p w14:paraId="2748A8C2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 486.679,35 dotacja z Rządowego Funduszu Inwestycji Lokalnych z przeznaczeniem na dofinansowanie do inwestycji gminnych</w:t>
      </w:r>
    </w:p>
    <w:p w14:paraId="297EED80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- 179.999,95 dotacja z PFRON (</w:t>
      </w:r>
      <w:proofErr w:type="spellStart"/>
      <w:r w:rsidRPr="007C505D">
        <w:rPr>
          <w:rFonts w:ascii="Times New Roman" w:hAnsi="Times New Roman" w:cs="Times New Roman"/>
          <w:sz w:val="24"/>
          <w:szCs w:val="24"/>
        </w:rPr>
        <w:t>door</w:t>
      </w:r>
      <w:proofErr w:type="spellEnd"/>
      <w:r w:rsidRPr="007C505D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7C505D">
        <w:rPr>
          <w:rFonts w:ascii="Times New Roman" w:hAnsi="Times New Roman" w:cs="Times New Roman"/>
          <w:sz w:val="24"/>
          <w:szCs w:val="24"/>
        </w:rPr>
        <w:t>door</w:t>
      </w:r>
      <w:proofErr w:type="spellEnd"/>
      <w:r w:rsidRPr="007C505D">
        <w:rPr>
          <w:rFonts w:ascii="Times New Roman" w:hAnsi="Times New Roman" w:cs="Times New Roman"/>
          <w:sz w:val="24"/>
          <w:szCs w:val="24"/>
        </w:rPr>
        <w:t>) z przeznaczeniem na zakup samochodu do przewozu osób niepełnosprawnych oraz na pokrycie kosztów z tym związanych</w:t>
      </w:r>
    </w:p>
    <w:p w14:paraId="056A04DF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49896C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Spłata zadłużenia zaplanowana została w latach 2022 - 2032.</w:t>
      </w:r>
    </w:p>
    <w:p w14:paraId="5329C6BB" w14:textId="77777777" w:rsidR="007C505D" w:rsidRPr="007C505D" w:rsidRDefault="007C505D" w:rsidP="007C505D">
      <w:pPr>
        <w:widowControl w:val="0"/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7. Dotyczy rozchodów  w latach 2021 - 2032 wykazanych w poz. 5 (str.4):</w:t>
      </w:r>
    </w:p>
    <w:p w14:paraId="04B9CD41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6703D781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505D">
        <w:rPr>
          <w:rFonts w:ascii="Times New Roman" w:hAnsi="Times New Roman" w:cs="Times New Roman"/>
          <w:sz w:val="24"/>
          <w:szCs w:val="24"/>
        </w:rPr>
        <w:t>W latach 2021-2032 planowana jest spłata kredytów i pożyczek zaciągniętych w latach 2012r.  - 2022r. Spłata rat kredytów i pożyczek w roku 2021 w kwocie 1.018.763,00 oraz w roku 2022 w kwocie 828.095,35 nastąpi z  przychodów budżetu, a w latach następnych 2023 - 2032 z planowanej  nadwyżki budżetowej,</w:t>
      </w:r>
    </w:p>
    <w:p w14:paraId="196F661A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1ACBF0C" w14:textId="77777777" w:rsidR="007C505D" w:rsidRPr="007C505D" w:rsidRDefault="007C505D" w:rsidP="007C505D">
      <w:pPr>
        <w:widowControl w:val="0"/>
        <w:numPr>
          <w:ilvl w:val="0"/>
          <w:numId w:val="2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Dotyczy długu publicznego na koniec roku  2021 – 2032  wykazanych w poz. 6 (str.5):</w:t>
      </w:r>
    </w:p>
    <w:p w14:paraId="3B2A13C4" w14:textId="77777777" w:rsidR="007C505D" w:rsidRPr="007C505D" w:rsidRDefault="007C505D" w:rsidP="007C50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584508F7" w14:textId="77777777" w:rsidR="007C505D" w:rsidRPr="007C505D" w:rsidRDefault="007C505D" w:rsidP="007C505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     Planowana kwota długu publicznego na koniec 2021 r. wyniesie 5.551.758,60 co stanowi 20,99%  do       planowanych dochodów ogółem,  spłata tego zadłużenia zaplanowana została na 11 kolejnych    lat, tj. do 2032r.</w:t>
      </w:r>
    </w:p>
    <w:p w14:paraId="6B75BF7F" w14:textId="77777777" w:rsidR="007C505D" w:rsidRPr="007C505D" w:rsidRDefault="007C505D" w:rsidP="007C505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406E30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          9.  Dotyczy wskaźnika spłaty zobowiązań (str.6) - </w:t>
      </w:r>
    </w:p>
    <w:p w14:paraId="05CFF571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1607A6E7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w roku 2021 jak i latach następnych wskaźnik obsługi zadłużenia jest zachowany.</w:t>
      </w:r>
    </w:p>
    <w:p w14:paraId="3E9A9DE5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A839F3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       10.  Dotyczy finansowania programów, projektów realizowanych ze środków o </w:t>
      </w:r>
      <w:proofErr w:type="spellStart"/>
      <w:r w:rsidRPr="007C505D">
        <w:rPr>
          <w:rFonts w:ascii="Times New Roman" w:hAnsi="Times New Roman" w:cs="Times New Roman"/>
          <w:sz w:val="24"/>
          <w:szCs w:val="24"/>
        </w:rPr>
        <w:t>krórych</w:t>
      </w:r>
      <w:proofErr w:type="spellEnd"/>
      <w:r w:rsidRPr="007C505D">
        <w:rPr>
          <w:rFonts w:ascii="Times New Roman" w:hAnsi="Times New Roman" w:cs="Times New Roman"/>
          <w:sz w:val="24"/>
          <w:szCs w:val="24"/>
        </w:rPr>
        <w:t xml:space="preserve"> mowa w art.5 ust. 1 pkt. 2 i 3 ustawy (środki pomocowe z budżet UE) (str.7 i 8) </w:t>
      </w:r>
    </w:p>
    <w:p w14:paraId="6CC3FE5C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3601FC85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wykazano zadania w latach 2021-2023 zgodnie z  wykazem przedsięwzięć do WPF.</w:t>
      </w:r>
    </w:p>
    <w:p w14:paraId="05413FC7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87761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 xml:space="preserve">       11.  Dotyczy informacji uzupełniających o wybranych kategoriach finansowych (str.9)</w:t>
      </w:r>
    </w:p>
    <w:p w14:paraId="1848A606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15E93B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Objaśnienia:</w:t>
      </w:r>
    </w:p>
    <w:p w14:paraId="01A146FE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05D">
        <w:rPr>
          <w:rFonts w:ascii="Times New Roman" w:hAnsi="Times New Roman" w:cs="Times New Roman"/>
          <w:sz w:val="24"/>
          <w:szCs w:val="24"/>
        </w:rPr>
        <w:t>w latach 2021 - 2028 wykazana jest spłata zobowiązań z tytułu pożyczek i kredytów długoterminowych już zaciągniętych. Łączna kwota zadłużenia przypadająca do spłaty w tych latach wynosi kwotę 3.974.210,60</w:t>
      </w:r>
    </w:p>
    <w:p w14:paraId="232D277C" w14:textId="77777777" w:rsidR="007C505D" w:rsidRPr="007C505D" w:rsidRDefault="007C505D" w:rsidP="007C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656C53" w14:textId="77777777" w:rsidR="00887740" w:rsidRDefault="00887740"/>
    <w:sectPr w:rsidR="00887740" w:rsidSect="002E0DBD">
      <w:pgSz w:w="11909" w:h="16834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06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42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78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214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250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86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322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358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94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05D"/>
    <w:rsid w:val="007C505D"/>
    <w:rsid w:val="0088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04BF3"/>
  <w15:chartTrackingRefBased/>
  <w15:docId w15:val="{655DE76E-18C0-4F24-B369-03BD0565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965</Words>
  <Characters>5795</Characters>
  <Application>Microsoft Office Word</Application>
  <DocSecurity>0</DocSecurity>
  <Lines>48</Lines>
  <Paragraphs>13</Paragraphs>
  <ScaleCrop>false</ScaleCrop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skarbnik</cp:lastModifiedBy>
  <cp:revision>1</cp:revision>
  <dcterms:created xsi:type="dcterms:W3CDTF">2021-11-26T14:38:00Z</dcterms:created>
  <dcterms:modified xsi:type="dcterms:W3CDTF">2021-11-26T14:40:00Z</dcterms:modified>
</cp:coreProperties>
</file>